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0C040" w14:textId="2DE837CE" w:rsidR="00B13651" w:rsidRDefault="00DE74D6">
      <w:hyperlink r:id="rId4" w:history="1">
        <w:r>
          <w:rPr>
            <w:rStyle w:val="Hyperlink"/>
          </w:rPr>
          <w:t>New Zealand Cancer Action Plan 2019–2029 | Ministry of Health NZ</w:t>
        </w:r>
      </w:hyperlink>
    </w:p>
    <w:sectPr w:rsidR="00B136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D6"/>
    <w:rsid w:val="00B13651"/>
    <w:rsid w:val="00D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D6916"/>
  <w15:chartTrackingRefBased/>
  <w15:docId w15:val="{52DCEBDE-C2A2-4CED-B8B3-F0029CC4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7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.govt.nz/publication/new-zealand-cancer-action-plan-2019-2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Ministry of Health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Sharpe</dc:creator>
  <cp:keywords/>
  <dc:description/>
  <cp:lastModifiedBy>Hilary Sharpe</cp:lastModifiedBy>
  <cp:revision>1</cp:revision>
  <dcterms:created xsi:type="dcterms:W3CDTF">2023-08-27T22:17:00Z</dcterms:created>
  <dcterms:modified xsi:type="dcterms:W3CDTF">2023-08-27T22:18:00Z</dcterms:modified>
</cp:coreProperties>
</file>